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E8D" w:rsidRDefault="00752E8D" w:rsidP="00752E8D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52E8D" w:rsidRDefault="00752E8D" w:rsidP="00752E8D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REGULAMENT CONCURS DE PRIM AJUTOR </w:t>
      </w:r>
    </w:p>
    <w:p w:rsidR="00752E8D" w:rsidRDefault="00752E8D" w:rsidP="00752E8D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52E8D" w:rsidRDefault="00752E8D" w:rsidP="00752E8D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52E8D" w:rsidRDefault="00752E8D" w:rsidP="00752E8D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52E8D" w:rsidRDefault="00752E8D" w:rsidP="00752E8D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52E8D" w:rsidRPr="003C5052" w:rsidRDefault="00752E8D" w:rsidP="00752E8D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752E8D" w:rsidRPr="003C5052" w:rsidRDefault="00752E8D" w:rsidP="00752E8D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5052">
        <w:rPr>
          <w:rFonts w:ascii="Times New Roman" w:hAnsi="Times New Roman" w:cs="Times New Roman"/>
          <w:b/>
          <w:sz w:val="24"/>
          <w:szCs w:val="24"/>
          <w:lang w:val="ro-RO"/>
        </w:rPr>
        <w:t>Data/perioada de desfăşurare;</w:t>
      </w:r>
    </w:p>
    <w:p w:rsidR="00752E8D" w:rsidRPr="003C5052" w:rsidRDefault="00752E8D" w:rsidP="00752E8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52E8D" w:rsidRPr="003C5052" w:rsidRDefault="00752E8D" w:rsidP="00752E8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29 .05.2026</w:t>
      </w:r>
      <w:r w:rsidRPr="003C5052">
        <w:rPr>
          <w:rFonts w:ascii="Times New Roman" w:hAnsi="Times New Roman" w:cs="Times New Roman"/>
          <w:sz w:val="24"/>
          <w:szCs w:val="24"/>
          <w:lang w:val="ro-RO"/>
        </w:rPr>
        <w:t xml:space="preserve">:    - ora 9.00- 9.30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val="ro-RO"/>
        </w:rPr>
        <w:t>-primirea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val="ro-RO"/>
        </w:rPr>
        <w:t xml:space="preserve"> candidaților  în săli  și a profesorilor însoțitori</w:t>
      </w:r>
    </w:p>
    <w:p w:rsidR="00752E8D" w:rsidRPr="003C5052" w:rsidRDefault="00752E8D" w:rsidP="00752E8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C505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- ora 10.00-10.20-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val="ro-RO"/>
        </w:rPr>
        <w:t>deșfășurarea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val="ro-RO"/>
        </w:rPr>
        <w:t xml:space="preserve"> concursului (proba teoretică)</w:t>
      </w:r>
    </w:p>
    <w:p w:rsidR="00752E8D" w:rsidRPr="003C5052" w:rsidRDefault="00752E8D" w:rsidP="00752E8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C505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- ora 10.30,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val="ro-RO"/>
        </w:rPr>
        <w:t>desfăsurarea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val="ro-RO"/>
        </w:rPr>
        <w:t xml:space="preserve"> probei practice </w:t>
      </w:r>
    </w:p>
    <w:p w:rsidR="00752E8D" w:rsidRPr="003C5052" w:rsidRDefault="00752E8D" w:rsidP="00752E8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52E8D" w:rsidRPr="003C5052" w:rsidRDefault="00752E8D" w:rsidP="00752E8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52E8D" w:rsidRPr="003C5052" w:rsidRDefault="00752E8D" w:rsidP="00752E8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C5052">
        <w:rPr>
          <w:rFonts w:ascii="Times New Roman" w:hAnsi="Times New Roman" w:cs="Times New Roman"/>
          <w:sz w:val="24"/>
          <w:szCs w:val="24"/>
          <w:lang w:val="ro-RO"/>
        </w:rPr>
        <w:t>Candidații vor avea asupra lor buletinul sau carnetul de elev vizat pe anul școlar 2025-2026.</w:t>
      </w:r>
    </w:p>
    <w:p w:rsidR="00752E8D" w:rsidRPr="003C5052" w:rsidRDefault="00752E8D" w:rsidP="00752E8D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752E8D" w:rsidRPr="003C5052" w:rsidRDefault="00752E8D" w:rsidP="00752E8D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752E8D" w:rsidRPr="003C5052" w:rsidRDefault="00752E8D" w:rsidP="00752E8D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en-GB"/>
        </w:rPr>
      </w:pPr>
      <w:r w:rsidRPr="003C5052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Echipajul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es</w:t>
      </w:r>
      <w:r>
        <w:rPr>
          <w:rFonts w:ascii="Times New Roman" w:hAnsi="Times New Roman" w:cs="Times New Roman"/>
          <w:sz w:val="24"/>
          <w:szCs w:val="24"/>
          <w:lang w:eastAsia="en-GB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format din 5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elevi</w:t>
      </w:r>
      <w:proofErr w:type="gramStart"/>
      <w:r>
        <w:rPr>
          <w:rFonts w:ascii="Times New Roman" w:hAnsi="Times New Roman" w:cs="Times New Roman"/>
          <w:sz w:val="24"/>
          <w:szCs w:val="24"/>
          <w:lang w:eastAsia="en-GB"/>
        </w:rPr>
        <w:t>,coordona</w:t>
      </w:r>
      <w:proofErr w:type="gramEnd"/>
      <w:r>
        <w:rPr>
          <w:rFonts w:ascii="Times New Roman" w:hAnsi="Times New Roman" w:cs="Times New Roman"/>
          <w:sz w:val="24"/>
          <w:szCs w:val="24"/>
          <w:lang w:eastAsia="en-GB"/>
        </w:rPr>
        <w:t>ț</w:t>
      </w:r>
      <w:r w:rsidRPr="003C5052">
        <w:rPr>
          <w:rFonts w:ascii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de 1-2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profesori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coordonatori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.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Participă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echipaje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ciclul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gimnazial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liceal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subiectelele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sunt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diferite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pe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nivele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învățământ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iar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premiile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vor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da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ordinea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descrescătoare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punctajelor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( nu</w:t>
      </w:r>
      <w:proofErr w:type="gram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vor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da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pe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nivele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de 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gimnaziu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si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liceu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>).</w:t>
      </w:r>
    </w:p>
    <w:p w:rsidR="00752E8D" w:rsidRPr="003C5052" w:rsidRDefault="00752E8D" w:rsidP="00752E8D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en-GB"/>
        </w:rPr>
      </w:pPr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:rsidR="00752E8D" w:rsidRPr="003C5052" w:rsidRDefault="00752E8D" w:rsidP="00752E8D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en-GB"/>
        </w:rPr>
      </w:pPr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Inscrierea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echipajelor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la concurs se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realizează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perioada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 1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-25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mai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3C5052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2026</w:t>
      </w:r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completarea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fisei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înscriere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(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anexa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1)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trimiterea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acesteia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 la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adresa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de e-mail : </w:t>
      </w:r>
      <w:hyperlink r:id="rId5" w:history="1">
        <w:r w:rsidRPr="003C5052">
          <w:rPr>
            <w:rStyle w:val="Hyperlink"/>
            <w:rFonts w:ascii="Times New Roman" w:hAnsi="Times New Roman" w:cs="Times New Roman"/>
            <w:sz w:val="24"/>
            <w:szCs w:val="24"/>
            <w:lang w:eastAsia="en-GB"/>
          </w:rPr>
          <w:t>georgetappsc@yahoo.com</w:t>
        </w:r>
      </w:hyperlink>
      <w:r w:rsidRPr="003C5052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752E8D" w:rsidRPr="003C5052" w:rsidRDefault="00752E8D" w:rsidP="00752E8D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en-GB"/>
        </w:rPr>
      </w:pPr>
    </w:p>
    <w:p w:rsidR="00752E8D" w:rsidRPr="003C5052" w:rsidRDefault="00752E8D" w:rsidP="00752E8D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Acordurile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parteneriat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2 </w:t>
      </w:r>
      <w:proofErr w:type="spellStart"/>
      <w:proofErr w:type="gram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exemplare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>(</w:t>
      </w:r>
      <w:proofErr w:type="gram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câte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un exemplar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fiecare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parte )-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anexa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2,  se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vor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aduce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la data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realizării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concursului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( 29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2026), la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fel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fișa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înscriere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Fisă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înscriere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va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trimite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format electronic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avea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evidență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strică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 a</w:t>
      </w:r>
      <w:proofErr w:type="gram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5052">
        <w:rPr>
          <w:rFonts w:ascii="Times New Roman" w:hAnsi="Times New Roman" w:cs="Times New Roman"/>
          <w:sz w:val="24"/>
          <w:szCs w:val="24"/>
          <w:lang w:eastAsia="en-GB"/>
        </w:rPr>
        <w:t>participanților</w:t>
      </w:r>
      <w:proofErr w:type="spellEnd"/>
      <w:r w:rsidRPr="003C5052">
        <w:rPr>
          <w:rFonts w:ascii="Times New Roman" w:hAnsi="Times New Roman" w:cs="Times New Roman"/>
          <w:sz w:val="24"/>
          <w:szCs w:val="24"/>
          <w:lang w:eastAsia="en-GB"/>
        </w:rPr>
        <w:t xml:space="preserve"> .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Fiecare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profesor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coordonator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en-GB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aduce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acordul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parintelui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elevul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participant la concurs. </w:t>
      </w:r>
    </w:p>
    <w:p w:rsidR="00752E8D" w:rsidRPr="003C5052" w:rsidRDefault="00752E8D" w:rsidP="00752E8D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752E8D" w:rsidRPr="003C5052" w:rsidRDefault="00752E8D" w:rsidP="00752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Proba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teoretică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- se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organizează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o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testare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stabilită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juriul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concursului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baza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tematicii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orientative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din anexa1.Testul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va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cuprinde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19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intrebări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cu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trei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răspunsuri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pentru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fiecare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întrebare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din care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numai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unul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va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fi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corect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urmând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ca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participanții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să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aleagă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răspunsul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bun. 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Fiecare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răspuns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corect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va</w:t>
      </w:r>
      <w:proofErr w:type="spellEnd"/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fi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notat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cu 1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punct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(plus 1 pct. din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oficiu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). </w:t>
      </w:r>
      <w:proofErr w:type="spellStart"/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Întrebările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vor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fi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aceleasi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pentru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toți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concurenții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același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ciclu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.</w:t>
      </w:r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Răspunsurile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întrebările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formulate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test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vor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fi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date de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întreaga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grupă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prin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consultare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maximum 15 minute</w:t>
      </w:r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,10</w:t>
      </w:r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cele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19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intrebări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se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vor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referi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Mișcarea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Cruce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Roșie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Semilună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Roșie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.</w:t>
      </w:r>
    </w:p>
    <w:p w:rsidR="00752E8D" w:rsidRPr="003C5052" w:rsidRDefault="00752E8D" w:rsidP="00752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Subiectele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concurs se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vor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elabora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către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o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comisie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elaborare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subiectelor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.</w:t>
      </w:r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</w:p>
    <w:p w:rsidR="00752E8D" w:rsidRPr="003C5052" w:rsidRDefault="00752E8D" w:rsidP="00752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Proba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practică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cuprinde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:</w:t>
      </w:r>
    </w:p>
    <w:p w:rsidR="00752E8D" w:rsidRPr="003C5052" w:rsidRDefault="00752E8D" w:rsidP="00752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1. </w:t>
      </w:r>
      <w:proofErr w:type="spellStart"/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tehnica</w:t>
      </w:r>
      <w:proofErr w:type="spellEnd"/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resuscitării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cardio-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respiratorii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.</w:t>
      </w:r>
    </w:p>
    <w:p w:rsidR="00752E8D" w:rsidRPr="003C5052" w:rsidRDefault="00752E8D" w:rsidP="00752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2. </w:t>
      </w:r>
      <w:proofErr w:type="spellStart"/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entorse</w:t>
      </w:r>
      <w:proofErr w:type="spellEnd"/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</w:p>
    <w:p w:rsidR="00752E8D" w:rsidRPr="003C5052" w:rsidRDefault="00752E8D" w:rsidP="00752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3.luxatii</w:t>
      </w:r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</w:p>
    <w:p w:rsidR="00752E8D" w:rsidRPr="003C5052" w:rsidRDefault="00752E8D" w:rsidP="00752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4.fracturi</w:t>
      </w:r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Timpul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executare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probei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practice </w:t>
      </w:r>
      <w:proofErr w:type="spellStart"/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este</w:t>
      </w:r>
      <w:proofErr w:type="spellEnd"/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10 minute.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lastRenderedPageBreak/>
        <w:t>Juriul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concursului</w:t>
      </w:r>
      <w:proofErr w:type="spellEnd"/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Juriul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va</w:t>
      </w:r>
      <w:proofErr w:type="spellEnd"/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fi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format din 3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persoane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.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Membrii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juriului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vor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fi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selectati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rândul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persoanelor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familiarizate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(cu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experiență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)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derularea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acestei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competiții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: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formatori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filialelor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Cruce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Rosie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domeniul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acordării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primului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ajutor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cadre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didactice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certificate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acest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domeniu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cadre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medicale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.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Nu pot face parte din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juriu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persoanele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care au </w:t>
      </w:r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un</w:t>
      </w:r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grad de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rudenie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membrii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echipajelor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aflate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concurs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sau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care au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pregătit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echipaje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aflate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in concurs.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Punctajul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obținut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va</w:t>
      </w:r>
      <w:proofErr w:type="spellEnd"/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fi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comunicat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echipajului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către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presedintele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juriului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imediat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după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terminarea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probei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practice,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însoțit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justificare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urmând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ca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seful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echipaj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să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contrasemneze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luarea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cunostință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punctajului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obținut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.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Eventualele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observații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ale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echipajului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referitoare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punctajul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obținut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proba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practică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se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vor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comunica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presedintelui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juriu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de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către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șeful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echipaj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loc,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înainte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semnarea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luare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cunostință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urmând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ca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cale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amiabilă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să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se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rezolve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eventualele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inadvertențe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.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.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Notarea</w:t>
      </w:r>
      <w:proofErr w:type="spellEnd"/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• la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proba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teoretică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se face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prin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sistemul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notare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la 1 la 20,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acordându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-se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cate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un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punct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pentru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fiecare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răspuns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corect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plus un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punct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oficiu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. </w:t>
      </w:r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Suma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punctelor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obținute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reprezintă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nota la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proba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teoretică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.</w:t>
      </w:r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C5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• </w:t>
      </w:r>
      <w:proofErr w:type="gramStart"/>
      <w:r w:rsidRPr="003C5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</w:t>
      </w:r>
      <w:proofErr w:type="gramEnd"/>
      <w:r w:rsidRPr="003C5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C5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proba</w:t>
      </w:r>
      <w:proofErr w:type="spellEnd"/>
      <w:r w:rsidRPr="003C5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C5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practica</w:t>
      </w:r>
      <w:proofErr w:type="spellEnd"/>
      <w:r w:rsidRPr="003C5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, se face </w:t>
      </w:r>
      <w:proofErr w:type="spellStart"/>
      <w:r w:rsidRPr="003C5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pornind</w:t>
      </w:r>
      <w:proofErr w:type="spellEnd"/>
      <w:r w:rsidRPr="003C5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la nota de </w:t>
      </w:r>
      <w:proofErr w:type="spellStart"/>
      <w:r w:rsidRPr="003C5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bază</w:t>
      </w:r>
      <w:proofErr w:type="spellEnd"/>
      <w:r w:rsidRPr="003C5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10,  din care </w:t>
      </w:r>
      <w:proofErr w:type="spellStart"/>
      <w:r w:rsidRPr="003C5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vor</w:t>
      </w:r>
      <w:proofErr w:type="spellEnd"/>
      <w:r w:rsidRPr="003C5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C5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</w:t>
      </w:r>
      <w:proofErr w:type="spellEnd"/>
      <w:r w:rsidRPr="003C5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C5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scăzute</w:t>
      </w:r>
      <w:proofErr w:type="spellEnd"/>
      <w:r w:rsidRPr="003C5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C5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punctele</w:t>
      </w:r>
      <w:proofErr w:type="spellEnd"/>
      <w:r w:rsidRPr="003C5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3C5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penalizare</w:t>
      </w:r>
      <w:proofErr w:type="spellEnd"/>
      <w:r w:rsidRPr="003C5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conform </w:t>
      </w:r>
      <w:proofErr w:type="spellStart"/>
      <w:r w:rsidRPr="003C5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anexei</w:t>
      </w:r>
      <w:proofErr w:type="spellEnd"/>
      <w:r w:rsidRPr="003C5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nr. 2.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Membrii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juriului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vor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aprecia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calitatea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prestatiei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echipajelor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acordarea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primului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ajutor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siguranța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deciziei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gesturilor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prim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ajutor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ținuta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disciplina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intervenție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anunțarea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cât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mai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rapidă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cât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mai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completă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accidentului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către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serviciile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urgență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prespitalicească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prin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apelarea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Numarului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Unic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Urgență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112.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Sunt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permise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înregistrările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audio/video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parcursul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prestației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echipajului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cu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acordul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presedintelui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juriului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.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Punctajul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final </w:t>
      </w:r>
      <w:proofErr w:type="spellStart"/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va</w:t>
      </w:r>
      <w:proofErr w:type="spellEnd"/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fi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constituit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însumarea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punctajului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obținut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proba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teoretică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punctajul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acordat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fiecare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membru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al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juriului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inclusiv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presedintele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juriului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la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proba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practică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.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Clasamentul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se </w:t>
      </w:r>
      <w:proofErr w:type="spellStart"/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va</w:t>
      </w:r>
      <w:proofErr w:type="spellEnd"/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întocmi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ordinea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descrescătoare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mediilor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.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Dacă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sunt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medii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egale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,</w:t>
      </w:r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departajarea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se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va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realiza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printr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-o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probă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prim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ajutor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care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va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fii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aleasă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membrii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juriului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. 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Anuntarea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rezultatelor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finale se </w:t>
      </w:r>
      <w:proofErr w:type="spellStart"/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va</w:t>
      </w:r>
      <w:proofErr w:type="spellEnd"/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face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timpul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festivității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premiere.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.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Premii</w:t>
      </w:r>
      <w:proofErr w:type="spellEnd"/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Se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vor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acorda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diplome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pentru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toți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participanț</w:t>
      </w:r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.</w:t>
      </w:r>
      <w:proofErr w:type="gramEnd"/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Anexa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1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Proba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teoretică</w:t>
      </w:r>
      <w:proofErr w:type="spellEnd"/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lastRenderedPageBreak/>
        <w:t xml:space="preserve">A.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Mișcarea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Cruce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Roșie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Semilună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Roșie</w:t>
      </w:r>
      <w:proofErr w:type="spellEnd"/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1.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Istoricul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Mișcării</w:t>
      </w:r>
      <w:proofErr w:type="spellEnd"/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2.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Principiile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fundamentale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ale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Crucii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Roșii</w:t>
      </w:r>
      <w:proofErr w:type="spellEnd"/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3.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Crucea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Rosie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Română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-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istoric</w:t>
      </w:r>
      <w:proofErr w:type="spellEnd"/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4.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Notiuni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drept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international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umanitar</w:t>
      </w:r>
      <w:proofErr w:type="spellEnd"/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5.Emblema</w:t>
      </w:r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Crucii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Roșii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B.Noțiuni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acordare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prim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ajutor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1.Fracturi</w:t>
      </w:r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2.Plăgi</w:t>
      </w:r>
      <w:proofErr w:type="gramEnd"/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3.Atacul</w:t>
      </w:r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cerebral 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4.Arsuri</w:t>
      </w:r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5.Convulsii</w:t>
      </w:r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6.Intoxica</w:t>
      </w:r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ții  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7.Insola</w:t>
      </w:r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ția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8.Resuscitarea</w:t>
      </w:r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cardiacă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respiratorie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9.Entorse</w:t>
      </w:r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10</w:t>
      </w:r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.Luxa</w:t>
      </w:r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ții </w:t>
      </w:r>
    </w:p>
    <w:p w:rsidR="00752E8D" w:rsidRPr="003C5052" w:rsidRDefault="00752E8D" w:rsidP="00752E8D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C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br/>
      </w:r>
      <w:proofErr w:type="spellStart"/>
      <w:r w:rsidRPr="003C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Bibliografie</w:t>
      </w:r>
      <w:proofErr w:type="spellEnd"/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•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Manualul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„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Sanitarii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pricepuți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"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editat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Crucea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Rosie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Romănă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ediția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2013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• „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Manualul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european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prim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ajutor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"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ediția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2012</w:t>
      </w:r>
    </w:p>
    <w:p w:rsidR="00752E8D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• Site-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urile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Crucii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Roș</w:t>
      </w:r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ii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:</w:t>
      </w:r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www.crucearoșie.ro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, www.ifrc.org, www. icrc.org</w:t>
      </w:r>
    </w:p>
    <w:p w:rsidR="00752E8D" w:rsidRPr="00A7141C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• Site-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urile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gram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IGSU :</w:t>
      </w:r>
      <w:proofErr w:type="gram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www.igsu.ro/paginacopiilor, </w:t>
      </w:r>
      <w:hyperlink r:id="rId6" w:history="1">
        <w:r w:rsidRPr="003C5052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o-RO"/>
          </w:rPr>
          <w:t>www.informarepreventivă.ro</w:t>
        </w:r>
      </w:hyperlink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Anexa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2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Societatea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Națională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Cruce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Roșie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România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Competiția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Prim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Ajutor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</w:p>
    <w:p w:rsidR="00752E8D" w:rsidRPr="003C5052" w:rsidRDefault="00752E8D" w:rsidP="0075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Normativ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penalizare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                               </w:t>
      </w:r>
      <w:proofErr w:type="spellStart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Echipajul</w:t>
      </w:r>
      <w:proofErr w:type="spellEnd"/>
      <w:r w:rsidRPr="003C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……………………..</w:t>
      </w:r>
    </w:p>
    <w:tbl>
      <w:tblPr>
        <w:tblStyle w:val="GrilTabel"/>
        <w:tblW w:w="0" w:type="auto"/>
        <w:tblLayout w:type="fixed"/>
        <w:tblLook w:val="04A0"/>
      </w:tblPr>
      <w:tblGrid>
        <w:gridCol w:w="2518"/>
        <w:gridCol w:w="1418"/>
        <w:gridCol w:w="1559"/>
        <w:gridCol w:w="3118"/>
      </w:tblGrid>
      <w:tr w:rsidR="00752E8D" w:rsidRPr="003C5052" w:rsidTr="00201CA0">
        <w:tc>
          <w:tcPr>
            <w:tcW w:w="2518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Manevrele</w:t>
            </w:r>
            <w:proofErr w:type="spellEnd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evaluate </w:t>
            </w:r>
          </w:p>
        </w:tc>
        <w:tc>
          <w:tcPr>
            <w:tcW w:w="1418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Punctaj</w:t>
            </w:r>
            <w:proofErr w:type="spellEnd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standard</w:t>
            </w:r>
          </w:p>
        </w:tc>
        <w:tc>
          <w:tcPr>
            <w:tcW w:w="1559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Punctaj</w:t>
            </w:r>
            <w:proofErr w:type="spellEnd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acordat</w:t>
            </w:r>
            <w:proofErr w:type="spellEnd"/>
          </w:p>
        </w:tc>
        <w:tc>
          <w:tcPr>
            <w:tcW w:w="3118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Observații</w:t>
            </w:r>
            <w:proofErr w:type="spellEnd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52E8D" w:rsidRPr="003C5052" w:rsidTr="00201CA0">
        <w:tc>
          <w:tcPr>
            <w:tcW w:w="2518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C50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Controlul</w:t>
            </w:r>
            <w:proofErr w:type="spellEnd"/>
            <w:r w:rsidRPr="003C50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50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funcțiilor</w:t>
            </w:r>
            <w:proofErr w:type="spellEnd"/>
            <w:r w:rsidRPr="003C50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50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vitale</w:t>
            </w:r>
            <w:proofErr w:type="spellEnd"/>
            <w:r w:rsidRPr="003C50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:</w:t>
            </w:r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Constiență</w:t>
            </w:r>
            <w:proofErr w:type="spellEnd"/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Respirație</w:t>
            </w:r>
            <w:proofErr w:type="spellEnd"/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Circulație</w:t>
            </w:r>
            <w:proofErr w:type="spellEnd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50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1,5</w:t>
            </w:r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E8D" w:rsidRPr="003C5052" w:rsidTr="00201CA0">
        <w:tc>
          <w:tcPr>
            <w:tcW w:w="2518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C50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Evaluarea</w:t>
            </w:r>
            <w:proofErr w:type="spellEnd"/>
            <w:r w:rsidRPr="003C50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50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inițială</w:t>
            </w:r>
            <w:proofErr w:type="spellEnd"/>
            <w:r w:rsidRPr="003C50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3C50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accidentatului</w:t>
            </w:r>
            <w:proofErr w:type="spellEnd"/>
            <w:r w:rsidRPr="003C50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:</w:t>
            </w:r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Evaluarea</w:t>
            </w:r>
            <w:proofErr w:type="spellEnd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generală</w:t>
            </w:r>
            <w:proofErr w:type="spellEnd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accidentatului</w:t>
            </w:r>
            <w:proofErr w:type="spellEnd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Comunicarea</w:t>
            </w:r>
            <w:proofErr w:type="spellEnd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rezultatului</w:t>
            </w:r>
            <w:proofErr w:type="spellEnd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evaluării</w:t>
            </w:r>
            <w:proofErr w:type="spellEnd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sefului</w:t>
            </w:r>
            <w:proofErr w:type="spellEnd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echipă</w:t>
            </w:r>
            <w:proofErr w:type="spellEnd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50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1,5</w:t>
            </w:r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E8D" w:rsidRPr="003C5052" w:rsidTr="00201CA0">
        <w:tc>
          <w:tcPr>
            <w:tcW w:w="2518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C50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Manevre</w:t>
            </w:r>
            <w:proofErr w:type="spellEnd"/>
            <w:r w:rsidRPr="003C50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3C50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acordare</w:t>
            </w:r>
            <w:proofErr w:type="spellEnd"/>
            <w:r w:rsidRPr="003C50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 prim </w:t>
            </w:r>
            <w:proofErr w:type="spellStart"/>
            <w:r w:rsidRPr="003C50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ajutor</w:t>
            </w:r>
            <w:proofErr w:type="spellEnd"/>
            <w:r w:rsidRPr="003C50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:</w:t>
            </w:r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E8D" w:rsidRPr="003C5052" w:rsidRDefault="00752E8D" w:rsidP="00752E8D">
            <w:pPr>
              <w:pStyle w:val="Listparagraf"/>
              <w:numPr>
                <w:ilvl w:val="0"/>
                <w:numId w:val="1"/>
              </w:numPr>
              <w:spacing w:after="15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aşezarea</w:t>
            </w:r>
            <w:proofErr w:type="spellEnd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victimei</w:t>
            </w:r>
            <w:proofErr w:type="spellEnd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poziţia</w:t>
            </w:r>
            <w:proofErr w:type="spellEnd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specifică</w:t>
            </w:r>
            <w:proofErr w:type="spellEnd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acordarea</w:t>
            </w:r>
            <w:proofErr w:type="spellEnd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primului</w:t>
            </w:r>
            <w:proofErr w:type="spellEnd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ajutor</w:t>
            </w:r>
            <w:proofErr w:type="spellEnd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52E8D" w:rsidRPr="003C5052" w:rsidRDefault="00752E8D" w:rsidP="00752E8D">
            <w:pPr>
              <w:pStyle w:val="Listparagraf"/>
              <w:numPr>
                <w:ilvl w:val="0"/>
                <w:numId w:val="1"/>
              </w:numPr>
              <w:spacing w:after="15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primul</w:t>
            </w:r>
            <w:proofErr w:type="spellEnd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ajutor</w:t>
            </w:r>
            <w:proofErr w:type="spellEnd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propriu-zis</w:t>
            </w:r>
            <w:proofErr w:type="spellEnd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 </w:t>
            </w:r>
            <w:proofErr w:type="spellStart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toaletă</w:t>
            </w:r>
            <w:proofErr w:type="spellEnd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plagă</w:t>
            </w:r>
            <w:proofErr w:type="spellEnd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bandaj</w:t>
            </w:r>
            <w:proofErr w:type="spellEnd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fixare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atele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 </w:t>
            </w:r>
            <w:proofErr w:type="spellStart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resuscitare</w:t>
            </w:r>
            <w:proofErr w:type="spellEnd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etc. ) • </w:t>
            </w:r>
            <w:proofErr w:type="spellStart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asigurare</w:t>
            </w:r>
            <w:proofErr w:type="spellEnd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confort</w:t>
            </w:r>
            <w:proofErr w:type="spellEnd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termic</w:t>
            </w:r>
            <w:proofErr w:type="spellEnd"/>
            <w:r w:rsidRPr="003C5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52E8D" w:rsidRPr="003C5052" w:rsidRDefault="00752E8D" w:rsidP="00201CA0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proofErr w:type="spellStart"/>
            <w:r w:rsidRPr="003C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supravegherea</w:t>
            </w:r>
            <w:proofErr w:type="spellEnd"/>
            <w:r w:rsidRPr="003C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continua a </w:t>
            </w:r>
            <w:proofErr w:type="spellStart"/>
            <w:r w:rsidRPr="003C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funcţiilor</w:t>
            </w:r>
            <w:proofErr w:type="spellEnd"/>
            <w:r w:rsidRPr="003C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vitale</w:t>
            </w:r>
            <w:proofErr w:type="spellEnd"/>
            <w:r w:rsidRPr="003C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* </w:t>
            </w:r>
          </w:p>
          <w:p w:rsidR="00752E8D" w:rsidRPr="003C5052" w:rsidRDefault="00752E8D" w:rsidP="00201CA0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proofErr w:type="spellStart"/>
            <w:r w:rsidRPr="003C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suport</w:t>
            </w:r>
            <w:proofErr w:type="spellEnd"/>
            <w:r w:rsidRPr="003C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psihologic</w:t>
            </w:r>
            <w:proofErr w:type="spellEnd"/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• </w:t>
            </w:r>
            <w:proofErr w:type="spellStart"/>
            <w:r w:rsidRPr="003C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aşezarea</w:t>
            </w:r>
            <w:proofErr w:type="spellEnd"/>
            <w:r w:rsidRPr="003C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victimei</w:t>
            </w:r>
            <w:proofErr w:type="spellEnd"/>
            <w:r w:rsidRPr="003C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3C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poziţia</w:t>
            </w:r>
            <w:proofErr w:type="spellEnd"/>
            <w:r w:rsidRPr="003C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specifică</w:t>
            </w:r>
            <w:proofErr w:type="spellEnd"/>
            <w:r w:rsidRPr="003C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3C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aşteptare</w:t>
            </w:r>
            <w:proofErr w:type="spellEnd"/>
          </w:p>
        </w:tc>
        <w:tc>
          <w:tcPr>
            <w:tcW w:w="1418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50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E8D" w:rsidRPr="003C5052" w:rsidTr="00201CA0">
        <w:tc>
          <w:tcPr>
            <w:tcW w:w="2518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Măsuri</w:t>
            </w:r>
            <w:proofErr w:type="spellEnd"/>
            <w:r w:rsidRPr="003C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3C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autoprotecţie</w:t>
            </w:r>
            <w:proofErr w:type="spellEnd"/>
          </w:p>
        </w:tc>
        <w:tc>
          <w:tcPr>
            <w:tcW w:w="1418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E8D" w:rsidRPr="003C5052" w:rsidTr="00201CA0">
        <w:tc>
          <w:tcPr>
            <w:tcW w:w="2518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Puncte</w:t>
            </w:r>
            <w:proofErr w:type="spellEnd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oficiu</w:t>
            </w:r>
            <w:proofErr w:type="spellEnd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E8D" w:rsidRPr="003C5052" w:rsidTr="00201CA0">
        <w:tc>
          <w:tcPr>
            <w:tcW w:w="2518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1418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E8D" w:rsidRPr="003C5052" w:rsidTr="00201CA0">
        <w:tc>
          <w:tcPr>
            <w:tcW w:w="2518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Observații</w:t>
            </w:r>
            <w:proofErr w:type="spellEnd"/>
            <w:r w:rsidRPr="003C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752E8D" w:rsidRPr="003C5052" w:rsidRDefault="00752E8D" w:rsidP="00201CA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351B4" w:rsidRDefault="005351B4"/>
    <w:sectPr w:rsidR="005351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2383B"/>
    <w:multiLevelType w:val="hybridMultilevel"/>
    <w:tmpl w:val="E9724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2E8D"/>
    <w:rsid w:val="005351B4"/>
    <w:rsid w:val="0075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52E8D"/>
    <w:pPr>
      <w:spacing w:after="0" w:line="240" w:lineRule="auto"/>
    </w:pPr>
    <w:rPr>
      <w:rFonts w:ascii="Arial" w:eastAsia="Arial" w:hAnsi="Arial" w:cs="Arial"/>
      <w:lang w:eastAsia="ro-RO"/>
    </w:rPr>
  </w:style>
  <w:style w:type="table" w:styleId="GrilTabel">
    <w:name w:val="Table Grid"/>
    <w:basedOn w:val="TabelNormal"/>
    <w:uiPriority w:val="59"/>
    <w:rsid w:val="00752E8D"/>
    <w:pPr>
      <w:spacing w:after="0" w:line="240" w:lineRule="auto"/>
    </w:pPr>
    <w:rPr>
      <w:rFonts w:ascii="Arial" w:eastAsia="Arial" w:hAnsi="Arial" w:cs="Arial"/>
      <w:lang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752E8D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Fontdeparagrafimplicit"/>
    <w:uiPriority w:val="99"/>
    <w:unhideWhenUsed/>
    <w:rsid w:val="00752E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rmarepreventiv&#259;.ro" TargetMode="External"/><Relationship Id="rId5" Type="http://schemas.openxmlformats.org/officeDocument/2006/relationships/hyperlink" Target="mailto:georgetappsc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929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2026-03-16T09:28:00Z</dcterms:created>
  <dcterms:modified xsi:type="dcterms:W3CDTF">2026-03-16T09:30:00Z</dcterms:modified>
</cp:coreProperties>
</file>